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94" w:rsidRDefault="00301494" w:rsidP="0030149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Приложение 2</w:t>
      </w:r>
    </w:p>
    <w:p w:rsidR="00301494" w:rsidRDefault="00301494" w:rsidP="00301494">
      <w:pPr>
        <w:jc w:val="center"/>
        <w:rPr>
          <w:b/>
          <w:bCs/>
          <w:snapToGrid w:val="0"/>
          <w:color w:val="000000"/>
          <w:sz w:val="26"/>
          <w:szCs w:val="26"/>
        </w:rPr>
      </w:pPr>
      <w:r>
        <w:rPr>
          <w:b/>
          <w:bCs/>
          <w:snapToGrid w:val="0"/>
          <w:color w:val="000000"/>
          <w:sz w:val="26"/>
          <w:szCs w:val="26"/>
        </w:rPr>
        <w:t>СПРАВКА</w:t>
      </w:r>
    </w:p>
    <w:p w:rsidR="00301494" w:rsidRDefault="00301494" w:rsidP="00301494">
      <w:pPr>
        <w:jc w:val="center"/>
        <w:rPr>
          <w:b/>
          <w:bCs/>
          <w:snapToGrid w:val="0"/>
          <w:color w:val="000000"/>
          <w:sz w:val="26"/>
          <w:szCs w:val="26"/>
        </w:rPr>
      </w:pPr>
      <w:r>
        <w:rPr>
          <w:b/>
          <w:bCs/>
          <w:snapToGrid w:val="0"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4 квартале 2016 года </w:t>
      </w:r>
    </w:p>
    <w:p w:rsidR="00301494" w:rsidRDefault="00301494" w:rsidP="00301494">
      <w:pPr>
        <w:jc w:val="center"/>
        <w:rPr>
          <w:b/>
          <w:bCs/>
          <w:snapToGrid w:val="0"/>
          <w:color w:val="000000"/>
          <w:sz w:val="26"/>
          <w:szCs w:val="26"/>
        </w:rPr>
      </w:pPr>
    </w:p>
    <w:p w:rsidR="00301494" w:rsidRDefault="00301494" w:rsidP="00301494">
      <w:pPr>
        <w:jc w:val="center"/>
        <w:rPr>
          <w:b/>
          <w:bCs/>
          <w:snapToGrid w:val="0"/>
          <w:color w:val="000000"/>
          <w:sz w:val="26"/>
          <w:szCs w:val="26"/>
        </w:rPr>
      </w:pPr>
    </w:p>
    <w:tbl>
      <w:tblPr>
        <w:tblW w:w="15450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244"/>
        <w:gridCol w:w="3402"/>
        <w:gridCol w:w="3402"/>
        <w:gridCol w:w="2694"/>
      </w:tblGrid>
      <w:tr w:rsidR="00301494" w:rsidTr="00301494">
        <w:trPr>
          <w:trHeight w:val="6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both"/>
            </w:pPr>
            <w:bookmarkStart w:id="0" w:name="_GoBack"/>
            <w:bookmarkEnd w:id="0"/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ind w:left="24" w:hanging="24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инспекции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</w:pPr>
            <w:r>
              <w:t>Количество поступивших обращений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Нарушение сроков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5229 (ЕРЦ)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301494" w:rsidTr="00301494"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pStyle w:val="1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24636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1494" w:rsidRDefault="0030149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24202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4" w:rsidRDefault="003014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</w:tbl>
    <w:p w:rsidR="00301494" w:rsidRDefault="00301494" w:rsidP="00301494">
      <w:pPr>
        <w:ind w:firstLine="851"/>
        <w:rPr>
          <w:sz w:val="26"/>
          <w:szCs w:val="26"/>
        </w:rPr>
      </w:pPr>
      <w:r>
        <w:rPr>
          <w:sz w:val="26"/>
          <w:szCs w:val="26"/>
        </w:rPr>
        <w:t>Наибольшее количество обращений касались вопросов начисления и уплаты налога на имущество – 8535 (34,6%), начисления и уплаты транспортного налога – 5307 (21,%%) , а также организации работы с налогоплательщиками – 4190 (17%).</w:t>
      </w:r>
    </w:p>
    <w:p w:rsidR="00E271CC" w:rsidRDefault="00301494"/>
    <w:sectPr w:rsidR="00E271CC" w:rsidSect="003014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DA"/>
    <w:rsid w:val="00301494"/>
    <w:rsid w:val="00407DE8"/>
    <w:rsid w:val="00455A51"/>
    <w:rsid w:val="00BD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9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1494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4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9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1494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4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2017-01-13T06:54:00Z</dcterms:created>
  <dcterms:modified xsi:type="dcterms:W3CDTF">2017-01-13T06:55:00Z</dcterms:modified>
</cp:coreProperties>
</file>